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77"/>
        <w:gridCol w:w="6521"/>
      </w:tblGrid>
      <w:tr w:rsidR="000C4CAF" w:rsidRPr="008A3C01" w:rsidTr="008A3C01">
        <w:tc>
          <w:tcPr>
            <w:tcW w:w="4077"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Keyword</w:t>
            </w:r>
          </w:p>
        </w:tc>
        <w:tc>
          <w:tcPr>
            <w:tcW w:w="6521"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Definition</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Nitrogen fixation</w:t>
            </w:r>
          </w:p>
        </w:tc>
        <w:tc>
          <w:tcPr>
            <w:tcW w:w="6521" w:type="dxa"/>
          </w:tcPr>
          <w:p w:rsidR="000C4CAF" w:rsidRPr="008A3C01" w:rsidRDefault="0090325B" w:rsidP="0098752B">
            <w:pPr>
              <w:rPr>
                <w:rFonts w:ascii="Comic Sans MS" w:hAnsi="Comic Sans MS"/>
                <w:sz w:val="28"/>
                <w:szCs w:val="28"/>
              </w:rPr>
            </w:pPr>
            <w:r>
              <w:rPr>
                <w:rFonts w:ascii="Comic Sans MS" w:hAnsi="Comic Sans MS"/>
                <w:sz w:val="28"/>
                <w:szCs w:val="28"/>
              </w:rPr>
              <w:t>The conversion of nitrogen gas into compound, either industrially or by natural means</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Haber process</w:t>
            </w:r>
          </w:p>
        </w:tc>
        <w:tc>
          <w:tcPr>
            <w:tcW w:w="6521" w:type="dxa"/>
          </w:tcPr>
          <w:p w:rsidR="000C4CAF" w:rsidRPr="008A3C01" w:rsidRDefault="0090325B" w:rsidP="0098752B">
            <w:pPr>
              <w:rPr>
                <w:rFonts w:ascii="Comic Sans MS" w:hAnsi="Comic Sans MS"/>
                <w:sz w:val="28"/>
                <w:szCs w:val="28"/>
              </w:rPr>
            </w:pPr>
            <w:r>
              <w:rPr>
                <w:rFonts w:ascii="Comic Sans MS" w:hAnsi="Comic Sans MS"/>
                <w:sz w:val="28"/>
                <w:szCs w:val="28"/>
              </w:rPr>
              <w:t>The reaction between nitrogen and hydrogen to make ammonia in industry</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Le</w:t>
            </w:r>
            <w:r w:rsidR="0090325B">
              <w:rPr>
                <w:rFonts w:ascii="Comic Sans MS" w:hAnsi="Comic Sans MS"/>
                <w:b/>
                <w:sz w:val="28"/>
                <w:szCs w:val="28"/>
              </w:rPr>
              <w:t xml:space="preserve"> </w:t>
            </w:r>
            <w:proofErr w:type="spellStart"/>
            <w:r>
              <w:rPr>
                <w:rFonts w:ascii="Comic Sans MS" w:hAnsi="Comic Sans MS"/>
                <w:b/>
                <w:sz w:val="28"/>
                <w:szCs w:val="28"/>
              </w:rPr>
              <w:t>Chatelier</w:t>
            </w:r>
            <w:r w:rsidR="0090325B">
              <w:rPr>
                <w:rFonts w:ascii="Comic Sans MS" w:hAnsi="Comic Sans MS"/>
                <w:b/>
                <w:sz w:val="28"/>
                <w:szCs w:val="28"/>
              </w:rPr>
              <w:t>’</w:t>
            </w:r>
            <w:r>
              <w:rPr>
                <w:rFonts w:ascii="Comic Sans MS" w:hAnsi="Comic Sans MS"/>
                <w:b/>
                <w:sz w:val="28"/>
                <w:szCs w:val="28"/>
              </w:rPr>
              <w:t>s</w:t>
            </w:r>
            <w:proofErr w:type="spellEnd"/>
            <w:r>
              <w:rPr>
                <w:rFonts w:ascii="Comic Sans MS" w:hAnsi="Comic Sans MS"/>
                <w:b/>
                <w:sz w:val="28"/>
                <w:szCs w:val="28"/>
              </w:rPr>
              <w:t xml:space="preserve"> principle</w:t>
            </w:r>
          </w:p>
        </w:tc>
        <w:tc>
          <w:tcPr>
            <w:tcW w:w="6521" w:type="dxa"/>
          </w:tcPr>
          <w:p w:rsidR="000C4CAF" w:rsidRPr="008A3C01" w:rsidRDefault="0090325B" w:rsidP="0098752B">
            <w:pPr>
              <w:rPr>
                <w:rFonts w:ascii="Comic Sans MS" w:hAnsi="Comic Sans MS"/>
                <w:sz w:val="28"/>
                <w:szCs w:val="28"/>
              </w:rPr>
            </w:pPr>
            <w:r>
              <w:rPr>
                <w:rFonts w:ascii="Comic Sans MS" w:hAnsi="Comic Sans MS"/>
                <w:sz w:val="28"/>
                <w:szCs w:val="28"/>
              </w:rPr>
              <w:t xml:space="preserve">The </w:t>
            </w:r>
            <w:r w:rsidR="00A36B58">
              <w:rPr>
                <w:rFonts w:ascii="Comic Sans MS" w:hAnsi="Comic Sans MS"/>
                <w:sz w:val="28"/>
                <w:szCs w:val="28"/>
              </w:rPr>
              <w:t>principle</w:t>
            </w:r>
            <w:r>
              <w:rPr>
                <w:rFonts w:ascii="Comic Sans MS" w:hAnsi="Comic Sans MS"/>
                <w:sz w:val="28"/>
                <w:szCs w:val="28"/>
              </w:rPr>
              <w:t xml:space="preserve"> that a position in equilibrium will respond to oppose a change  </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Limiting factor</w:t>
            </w:r>
          </w:p>
        </w:tc>
        <w:tc>
          <w:tcPr>
            <w:tcW w:w="6521" w:type="dxa"/>
          </w:tcPr>
          <w:p w:rsidR="000C4CAF" w:rsidRPr="008A3C01" w:rsidRDefault="005C17C5" w:rsidP="0098752B">
            <w:pPr>
              <w:rPr>
                <w:rFonts w:ascii="Comic Sans MS" w:hAnsi="Comic Sans MS"/>
                <w:sz w:val="28"/>
                <w:szCs w:val="28"/>
              </w:rPr>
            </w:pPr>
            <w:r>
              <w:rPr>
                <w:rFonts w:ascii="Comic Sans MS" w:hAnsi="Comic Sans MS"/>
                <w:sz w:val="28"/>
                <w:szCs w:val="28"/>
              </w:rPr>
              <w:t>The factor that prevents the rate of growth of living things</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Triple bond</w:t>
            </w:r>
          </w:p>
        </w:tc>
        <w:tc>
          <w:tcPr>
            <w:tcW w:w="6521" w:type="dxa"/>
          </w:tcPr>
          <w:p w:rsidR="000C4CAF" w:rsidRPr="008A3C01" w:rsidRDefault="005C17C5" w:rsidP="0098752B">
            <w:pPr>
              <w:rPr>
                <w:rFonts w:ascii="Comic Sans MS" w:hAnsi="Comic Sans MS"/>
                <w:sz w:val="28"/>
                <w:szCs w:val="28"/>
              </w:rPr>
            </w:pPr>
            <w:r>
              <w:rPr>
                <w:rFonts w:ascii="Comic Sans MS" w:hAnsi="Comic Sans MS"/>
                <w:sz w:val="28"/>
                <w:szCs w:val="28"/>
              </w:rPr>
              <w:t>A covalent bond between 2 atoms involving the sharing of three pairs of electrons, for example in nitrogen gas. It makes the molecule very stable and unreactive.</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 xml:space="preserve">Nitrogen cycle </w:t>
            </w:r>
          </w:p>
        </w:tc>
        <w:tc>
          <w:tcPr>
            <w:tcW w:w="6521" w:type="dxa"/>
          </w:tcPr>
          <w:p w:rsidR="000C4CAF" w:rsidRPr="008A3C01" w:rsidRDefault="004F4D3B" w:rsidP="0098752B">
            <w:pPr>
              <w:rPr>
                <w:rFonts w:ascii="Comic Sans MS" w:hAnsi="Comic Sans MS"/>
                <w:sz w:val="28"/>
                <w:szCs w:val="28"/>
              </w:rPr>
            </w:pPr>
            <w:r>
              <w:rPr>
                <w:rFonts w:ascii="Comic Sans MS" w:hAnsi="Comic Sans MS"/>
                <w:sz w:val="28"/>
                <w:szCs w:val="28"/>
              </w:rPr>
              <w:t xml:space="preserve">The continuous cycling of nitrogen, which is one of the essential elements of life. Nitrogen </w:t>
            </w:r>
            <w:r w:rsidR="00A36B58">
              <w:rPr>
                <w:rFonts w:ascii="Comic Sans MS" w:hAnsi="Comic Sans MS"/>
                <w:sz w:val="28"/>
                <w:szCs w:val="28"/>
              </w:rPr>
              <w:t>cycles</w:t>
            </w:r>
            <w:r>
              <w:rPr>
                <w:rFonts w:ascii="Comic Sans MS" w:hAnsi="Comic Sans MS"/>
                <w:sz w:val="28"/>
                <w:szCs w:val="28"/>
              </w:rPr>
              <w:t xml:space="preserve"> between the atmosphere, </w:t>
            </w:r>
            <w:r w:rsidR="00A36B58">
              <w:rPr>
                <w:rFonts w:ascii="Comic Sans MS" w:hAnsi="Comic Sans MS"/>
                <w:sz w:val="28"/>
                <w:szCs w:val="28"/>
              </w:rPr>
              <w:t>lithosphere</w:t>
            </w:r>
            <w:r>
              <w:rPr>
                <w:rFonts w:ascii="Comic Sans MS" w:hAnsi="Comic Sans MS"/>
                <w:sz w:val="28"/>
                <w:szCs w:val="28"/>
              </w:rPr>
              <w:t>, hydrosphere and biosphere.</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proofErr w:type="spellStart"/>
            <w:r>
              <w:rPr>
                <w:rFonts w:ascii="Comic Sans MS" w:hAnsi="Comic Sans MS"/>
                <w:b/>
                <w:sz w:val="28"/>
                <w:szCs w:val="28"/>
              </w:rPr>
              <w:t>Nitrogenase</w:t>
            </w:r>
            <w:proofErr w:type="spellEnd"/>
          </w:p>
        </w:tc>
        <w:tc>
          <w:tcPr>
            <w:tcW w:w="6521" w:type="dxa"/>
          </w:tcPr>
          <w:p w:rsidR="000C4CAF" w:rsidRPr="008A3C01" w:rsidRDefault="004F4D3B" w:rsidP="0098752B">
            <w:pPr>
              <w:rPr>
                <w:rFonts w:ascii="Comic Sans MS" w:hAnsi="Comic Sans MS"/>
                <w:sz w:val="28"/>
                <w:szCs w:val="28"/>
              </w:rPr>
            </w:pPr>
            <w:r>
              <w:rPr>
                <w:rFonts w:ascii="Comic Sans MS" w:hAnsi="Comic Sans MS"/>
                <w:sz w:val="28"/>
                <w:szCs w:val="28"/>
              </w:rPr>
              <w:t xml:space="preserve">The enzyme system that catalyses the reduction of nitrogen gas to ammonia </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Qualitative</w:t>
            </w:r>
          </w:p>
        </w:tc>
        <w:tc>
          <w:tcPr>
            <w:tcW w:w="6521" w:type="dxa"/>
          </w:tcPr>
          <w:p w:rsidR="000C4CAF" w:rsidRPr="008A3C01" w:rsidRDefault="004F4D3B" w:rsidP="0098752B">
            <w:pPr>
              <w:rPr>
                <w:rFonts w:ascii="Comic Sans MS" w:hAnsi="Comic Sans MS"/>
                <w:sz w:val="28"/>
                <w:szCs w:val="28"/>
              </w:rPr>
            </w:pPr>
            <w:r>
              <w:rPr>
                <w:rFonts w:ascii="Comic Sans MS" w:hAnsi="Comic Sans MS"/>
                <w:sz w:val="28"/>
                <w:szCs w:val="28"/>
              </w:rPr>
              <w:t xml:space="preserve">Qualitative analysis </w:t>
            </w:r>
            <w:r w:rsidR="00A36B58">
              <w:rPr>
                <w:rFonts w:ascii="Comic Sans MS" w:hAnsi="Comic Sans MS"/>
                <w:sz w:val="28"/>
                <w:szCs w:val="28"/>
              </w:rPr>
              <w:t>is any</w:t>
            </w:r>
            <w:r>
              <w:rPr>
                <w:rFonts w:ascii="Comic Sans MS" w:hAnsi="Comic Sans MS"/>
                <w:sz w:val="28"/>
                <w:szCs w:val="28"/>
              </w:rPr>
              <w:t xml:space="preserve"> method for identifying the chemicals in a sample. Thin layer chromatography is an example of a qualitative method of analysis</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Quantitative</w:t>
            </w:r>
          </w:p>
        </w:tc>
        <w:tc>
          <w:tcPr>
            <w:tcW w:w="6521" w:type="dxa"/>
          </w:tcPr>
          <w:p w:rsidR="000C4CAF" w:rsidRPr="008A3C01" w:rsidRDefault="004F4D3B" w:rsidP="0098752B">
            <w:pPr>
              <w:rPr>
                <w:rFonts w:ascii="Comic Sans MS" w:hAnsi="Comic Sans MS"/>
                <w:sz w:val="28"/>
                <w:szCs w:val="28"/>
              </w:rPr>
            </w:pPr>
            <w:r>
              <w:rPr>
                <w:rFonts w:ascii="Comic Sans MS" w:hAnsi="Comic Sans MS"/>
                <w:sz w:val="28"/>
                <w:szCs w:val="28"/>
              </w:rPr>
              <w:t>Quantitative analysis is any method for determining the amount of a chemical in a sample. An acid-base titration is an example of quantitative analysis</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Sample</w:t>
            </w:r>
          </w:p>
        </w:tc>
        <w:tc>
          <w:tcPr>
            <w:tcW w:w="6521" w:type="dxa"/>
          </w:tcPr>
          <w:p w:rsidR="000C4CAF" w:rsidRPr="008A3C01" w:rsidRDefault="004F4D3B" w:rsidP="0098752B">
            <w:pPr>
              <w:rPr>
                <w:rFonts w:ascii="Comic Sans MS" w:hAnsi="Comic Sans MS"/>
                <w:sz w:val="28"/>
                <w:szCs w:val="28"/>
              </w:rPr>
            </w:pPr>
            <w:r>
              <w:rPr>
                <w:rFonts w:ascii="Comic Sans MS" w:hAnsi="Comic Sans MS"/>
                <w:sz w:val="28"/>
                <w:szCs w:val="28"/>
              </w:rPr>
              <w:t>A small portion collected from a larger bulk of material for analysis.</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Replicate sample</w:t>
            </w:r>
          </w:p>
        </w:tc>
        <w:tc>
          <w:tcPr>
            <w:tcW w:w="6521" w:type="dxa"/>
          </w:tcPr>
          <w:p w:rsidR="000C4CAF" w:rsidRPr="008A3C01" w:rsidRDefault="004F4D3B" w:rsidP="0098752B">
            <w:pPr>
              <w:rPr>
                <w:rFonts w:ascii="Comic Sans MS" w:hAnsi="Comic Sans MS"/>
                <w:sz w:val="28"/>
                <w:szCs w:val="28"/>
              </w:rPr>
            </w:pPr>
            <w:r>
              <w:rPr>
                <w:rFonts w:ascii="Comic Sans MS" w:hAnsi="Comic Sans MS"/>
                <w:sz w:val="28"/>
                <w:szCs w:val="28"/>
              </w:rPr>
              <w:t>Two or more samples taken from the same material. Replicate samples should be as similar as possible and analysed by the same procedure to help judge the precision of the analysis.</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Representative sample</w:t>
            </w:r>
          </w:p>
        </w:tc>
        <w:tc>
          <w:tcPr>
            <w:tcW w:w="6521" w:type="dxa"/>
          </w:tcPr>
          <w:p w:rsidR="000C4CAF" w:rsidRDefault="004F4D3B" w:rsidP="0098752B">
            <w:pPr>
              <w:rPr>
                <w:rFonts w:ascii="Comic Sans MS" w:hAnsi="Comic Sans MS"/>
                <w:sz w:val="28"/>
                <w:szCs w:val="28"/>
              </w:rPr>
            </w:pPr>
            <w:r>
              <w:rPr>
                <w:rFonts w:ascii="Comic Sans MS" w:hAnsi="Comic Sans MS"/>
                <w:sz w:val="28"/>
                <w:szCs w:val="28"/>
              </w:rPr>
              <w:t>A sample of a material that is nearly identical as possible in its chemical composition to that of the larger bulk of material sampled</w:t>
            </w:r>
          </w:p>
          <w:p w:rsidR="0024230A" w:rsidRDefault="0024230A" w:rsidP="0098752B">
            <w:pPr>
              <w:rPr>
                <w:rFonts w:ascii="Comic Sans MS" w:hAnsi="Comic Sans MS"/>
                <w:sz w:val="28"/>
                <w:szCs w:val="28"/>
              </w:rPr>
            </w:pPr>
          </w:p>
          <w:p w:rsidR="0024230A" w:rsidRPr="008A3C01" w:rsidRDefault="0024230A" w:rsidP="0098752B">
            <w:pPr>
              <w:rPr>
                <w:rFonts w:ascii="Comic Sans MS" w:hAnsi="Comic Sans MS"/>
                <w:sz w:val="28"/>
                <w:szCs w:val="28"/>
              </w:rPr>
            </w:pP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lastRenderedPageBreak/>
              <w:t>Chromatography</w:t>
            </w:r>
          </w:p>
        </w:tc>
        <w:tc>
          <w:tcPr>
            <w:tcW w:w="6521" w:type="dxa"/>
          </w:tcPr>
          <w:p w:rsidR="000C4CAF" w:rsidRPr="008A3C01" w:rsidRDefault="004F4D3B" w:rsidP="0098752B">
            <w:pPr>
              <w:rPr>
                <w:rFonts w:ascii="Comic Sans MS" w:hAnsi="Comic Sans MS"/>
                <w:sz w:val="28"/>
                <w:szCs w:val="28"/>
              </w:rPr>
            </w:pPr>
            <w:r>
              <w:rPr>
                <w:rFonts w:ascii="Comic Sans MS" w:hAnsi="Comic Sans MS"/>
                <w:sz w:val="28"/>
                <w:szCs w:val="28"/>
              </w:rPr>
              <w:t xml:space="preserve">An </w:t>
            </w:r>
            <w:r w:rsidR="00A36B58">
              <w:rPr>
                <w:rFonts w:ascii="Comic Sans MS" w:hAnsi="Comic Sans MS"/>
                <w:sz w:val="28"/>
                <w:szCs w:val="28"/>
              </w:rPr>
              <w:t>analytical</w:t>
            </w:r>
            <w:r>
              <w:rPr>
                <w:rFonts w:ascii="Comic Sans MS" w:hAnsi="Comic Sans MS"/>
                <w:sz w:val="28"/>
                <w:szCs w:val="28"/>
              </w:rPr>
              <w:t xml:space="preserve"> technique in which the components of a mixture are separated by the movement of a mobile phase </w:t>
            </w:r>
            <w:r w:rsidR="001F4FC5">
              <w:rPr>
                <w:rFonts w:ascii="Comic Sans MS" w:hAnsi="Comic Sans MS"/>
                <w:sz w:val="28"/>
                <w:szCs w:val="28"/>
              </w:rPr>
              <w:t>through a stationary phase</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Mobile phase</w:t>
            </w:r>
          </w:p>
        </w:tc>
        <w:tc>
          <w:tcPr>
            <w:tcW w:w="6521" w:type="dxa"/>
          </w:tcPr>
          <w:p w:rsidR="000C4CAF" w:rsidRPr="008A3C01" w:rsidRDefault="001F4FC5" w:rsidP="0098752B">
            <w:pPr>
              <w:rPr>
                <w:rFonts w:ascii="Comic Sans MS" w:hAnsi="Comic Sans MS"/>
                <w:sz w:val="28"/>
                <w:szCs w:val="28"/>
              </w:rPr>
            </w:pPr>
            <w:r>
              <w:rPr>
                <w:rFonts w:ascii="Comic Sans MS" w:hAnsi="Comic Sans MS"/>
                <w:sz w:val="28"/>
                <w:szCs w:val="28"/>
              </w:rPr>
              <w:t>The solvent that carries chemicals from a sample through a chromatographic column</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Stationary phase</w:t>
            </w:r>
          </w:p>
        </w:tc>
        <w:tc>
          <w:tcPr>
            <w:tcW w:w="6521" w:type="dxa"/>
          </w:tcPr>
          <w:p w:rsidR="000C4CAF" w:rsidRPr="008A3C01" w:rsidRDefault="001F4FC5" w:rsidP="0098752B">
            <w:pPr>
              <w:rPr>
                <w:rFonts w:ascii="Comic Sans MS" w:hAnsi="Comic Sans MS"/>
                <w:sz w:val="28"/>
                <w:szCs w:val="28"/>
              </w:rPr>
            </w:pPr>
            <w:r>
              <w:rPr>
                <w:rFonts w:ascii="Comic Sans MS" w:hAnsi="Comic Sans MS"/>
                <w:sz w:val="28"/>
                <w:szCs w:val="28"/>
              </w:rPr>
              <w:t>The medium through which the mobile phase passes in chromatography</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Aqueous</w:t>
            </w:r>
          </w:p>
        </w:tc>
        <w:tc>
          <w:tcPr>
            <w:tcW w:w="6521" w:type="dxa"/>
          </w:tcPr>
          <w:p w:rsidR="000C4CAF" w:rsidRPr="008A3C01" w:rsidRDefault="001F4FC5" w:rsidP="0098752B">
            <w:pPr>
              <w:rPr>
                <w:rFonts w:ascii="Comic Sans MS" w:hAnsi="Comic Sans MS"/>
                <w:sz w:val="28"/>
                <w:szCs w:val="28"/>
              </w:rPr>
            </w:pPr>
            <w:r>
              <w:rPr>
                <w:rFonts w:ascii="Comic Sans MS" w:hAnsi="Comic Sans MS"/>
                <w:sz w:val="28"/>
                <w:szCs w:val="28"/>
              </w:rPr>
              <w:t>An aqueous solution is a solution in which water is the solvent</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Non aqueous</w:t>
            </w:r>
          </w:p>
        </w:tc>
        <w:tc>
          <w:tcPr>
            <w:tcW w:w="6521" w:type="dxa"/>
          </w:tcPr>
          <w:p w:rsidR="000C4CAF" w:rsidRPr="008A3C01" w:rsidRDefault="001F4FC5" w:rsidP="001F4FC5">
            <w:pPr>
              <w:rPr>
                <w:rFonts w:ascii="Comic Sans MS" w:hAnsi="Comic Sans MS"/>
                <w:sz w:val="28"/>
                <w:szCs w:val="28"/>
              </w:rPr>
            </w:pPr>
            <w:r>
              <w:rPr>
                <w:rFonts w:ascii="Comic Sans MS" w:hAnsi="Comic Sans MS"/>
                <w:sz w:val="28"/>
                <w:szCs w:val="28"/>
              </w:rPr>
              <w:t>A solution in which a liquid other than water is the solvent</w:t>
            </w:r>
          </w:p>
        </w:tc>
      </w:tr>
      <w:tr w:rsidR="000C4CAF" w:rsidRPr="008A3C01" w:rsidTr="0024230A">
        <w:trPr>
          <w:trHeight w:val="805"/>
        </w:trPr>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Reference materials</w:t>
            </w:r>
          </w:p>
        </w:tc>
        <w:tc>
          <w:tcPr>
            <w:tcW w:w="6521" w:type="dxa"/>
          </w:tcPr>
          <w:p w:rsidR="000C4CAF" w:rsidRPr="008A3C01" w:rsidRDefault="001F4FC5" w:rsidP="0098752B">
            <w:pPr>
              <w:rPr>
                <w:rFonts w:ascii="Comic Sans MS" w:hAnsi="Comic Sans MS"/>
                <w:sz w:val="28"/>
                <w:szCs w:val="28"/>
              </w:rPr>
            </w:pPr>
            <w:r>
              <w:rPr>
                <w:rFonts w:ascii="Comic Sans MS" w:hAnsi="Comic Sans MS"/>
                <w:sz w:val="28"/>
                <w:szCs w:val="28"/>
              </w:rPr>
              <w:t>Known chemicals used in analysis for comparison</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Chromatogram</w:t>
            </w:r>
          </w:p>
        </w:tc>
        <w:tc>
          <w:tcPr>
            <w:tcW w:w="6521" w:type="dxa"/>
          </w:tcPr>
          <w:p w:rsidR="000C4CAF" w:rsidRPr="008A3C01" w:rsidRDefault="001F4FC5" w:rsidP="0098752B">
            <w:pPr>
              <w:rPr>
                <w:rFonts w:ascii="Comic Sans MS" w:hAnsi="Comic Sans MS"/>
                <w:sz w:val="28"/>
                <w:szCs w:val="28"/>
              </w:rPr>
            </w:pPr>
            <w:r>
              <w:rPr>
                <w:rFonts w:ascii="Comic Sans MS" w:hAnsi="Comic Sans MS"/>
                <w:sz w:val="28"/>
                <w:szCs w:val="28"/>
              </w:rPr>
              <w:t>The resulting record showing the separated chemicals at the end of a chromatography experiment.</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Solvent front</w:t>
            </w:r>
          </w:p>
        </w:tc>
        <w:tc>
          <w:tcPr>
            <w:tcW w:w="6521" w:type="dxa"/>
          </w:tcPr>
          <w:p w:rsidR="000C4CAF" w:rsidRPr="008A3C01" w:rsidRDefault="001A2C1B" w:rsidP="0098752B">
            <w:pPr>
              <w:rPr>
                <w:rFonts w:ascii="Comic Sans MS" w:hAnsi="Comic Sans MS"/>
                <w:sz w:val="28"/>
                <w:szCs w:val="28"/>
              </w:rPr>
            </w:pPr>
            <w:r>
              <w:rPr>
                <w:rFonts w:ascii="Comic Sans MS" w:hAnsi="Comic Sans MS"/>
                <w:sz w:val="28"/>
                <w:szCs w:val="28"/>
              </w:rPr>
              <w:t>The furthest position reached by the solvent</w:t>
            </w:r>
            <w:r w:rsidR="00DE2518">
              <w:rPr>
                <w:rFonts w:ascii="Comic Sans MS" w:hAnsi="Comic Sans MS"/>
                <w:sz w:val="28"/>
                <w:szCs w:val="28"/>
              </w:rPr>
              <w:t xml:space="preserve"> during paper or thin layer chromatography</w:t>
            </w:r>
          </w:p>
        </w:tc>
      </w:tr>
      <w:tr w:rsidR="000C4CAF" w:rsidRPr="008A3C01" w:rsidTr="0024230A">
        <w:trPr>
          <w:trHeight w:val="1124"/>
        </w:trPr>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Locating agent</w:t>
            </w:r>
          </w:p>
        </w:tc>
        <w:tc>
          <w:tcPr>
            <w:tcW w:w="6521" w:type="dxa"/>
          </w:tcPr>
          <w:p w:rsidR="000C4CAF" w:rsidRPr="008A3C01" w:rsidRDefault="00DE2518" w:rsidP="0098752B">
            <w:pPr>
              <w:rPr>
                <w:rFonts w:ascii="Comic Sans MS" w:hAnsi="Comic Sans MS"/>
                <w:sz w:val="28"/>
                <w:szCs w:val="28"/>
              </w:rPr>
            </w:pPr>
            <w:r>
              <w:rPr>
                <w:rFonts w:ascii="Comic Sans MS" w:hAnsi="Comic Sans MS"/>
                <w:sz w:val="28"/>
                <w:szCs w:val="28"/>
              </w:rPr>
              <w:t>A chemical used to show up colourless spots on a chromatogram</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Retardation factor (</w:t>
            </w:r>
            <w:proofErr w:type="spellStart"/>
            <w:r>
              <w:rPr>
                <w:rFonts w:ascii="Comic Sans MS" w:hAnsi="Comic Sans MS"/>
                <w:b/>
                <w:sz w:val="28"/>
                <w:szCs w:val="28"/>
              </w:rPr>
              <w:t>R</w:t>
            </w:r>
            <w:r w:rsidRPr="00DE2518">
              <w:rPr>
                <w:rFonts w:ascii="Comic Sans MS" w:hAnsi="Comic Sans MS"/>
                <w:b/>
                <w:sz w:val="28"/>
                <w:szCs w:val="28"/>
                <w:vertAlign w:val="subscript"/>
              </w:rPr>
              <w:t>f</w:t>
            </w:r>
            <w:proofErr w:type="spellEnd"/>
            <w:r>
              <w:rPr>
                <w:rFonts w:ascii="Comic Sans MS" w:hAnsi="Comic Sans MS"/>
                <w:b/>
                <w:sz w:val="28"/>
                <w:szCs w:val="28"/>
              </w:rPr>
              <w:t>)</w:t>
            </w:r>
          </w:p>
        </w:tc>
        <w:tc>
          <w:tcPr>
            <w:tcW w:w="6521" w:type="dxa"/>
          </w:tcPr>
          <w:p w:rsidR="000C4CAF" w:rsidRPr="00DE2518" w:rsidRDefault="00DE2518" w:rsidP="0098752B">
            <w:pPr>
              <w:rPr>
                <w:rFonts w:ascii="Comic Sans MS" w:hAnsi="Comic Sans MS"/>
                <w:sz w:val="28"/>
                <w:szCs w:val="28"/>
              </w:rPr>
            </w:pPr>
            <w:r>
              <w:rPr>
                <w:rFonts w:ascii="Comic Sans MS" w:hAnsi="Comic Sans MS"/>
                <w:sz w:val="28"/>
                <w:szCs w:val="28"/>
              </w:rPr>
              <w:t>A ration used in paper or thin-layer chromatography. If the conditions are kept the same, each chemical in a mixture will move a fixed fraction of the distance moved by the solvent front. The</w:t>
            </w:r>
            <w:r>
              <w:rPr>
                <w:rFonts w:ascii="Comic Sans MS" w:hAnsi="Comic Sans MS"/>
                <w:b/>
                <w:sz w:val="28"/>
                <w:szCs w:val="28"/>
              </w:rPr>
              <w:t xml:space="preserve"> </w:t>
            </w:r>
            <w:proofErr w:type="spellStart"/>
            <w:r>
              <w:rPr>
                <w:rFonts w:ascii="Comic Sans MS" w:hAnsi="Comic Sans MS"/>
                <w:b/>
                <w:sz w:val="28"/>
                <w:szCs w:val="28"/>
              </w:rPr>
              <w:t>R</w:t>
            </w:r>
            <w:r w:rsidRPr="00DE2518">
              <w:rPr>
                <w:rFonts w:ascii="Comic Sans MS" w:hAnsi="Comic Sans MS"/>
                <w:b/>
                <w:sz w:val="28"/>
                <w:szCs w:val="28"/>
                <w:vertAlign w:val="subscript"/>
              </w:rPr>
              <w:t>f</w:t>
            </w:r>
            <w:proofErr w:type="spellEnd"/>
            <w:r>
              <w:rPr>
                <w:rFonts w:ascii="Comic Sans MS" w:hAnsi="Comic Sans MS"/>
                <w:sz w:val="28"/>
                <w:szCs w:val="28"/>
              </w:rPr>
              <w:t xml:space="preserve"> value is a measure of this fraction.</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Retention time</w:t>
            </w:r>
          </w:p>
        </w:tc>
        <w:tc>
          <w:tcPr>
            <w:tcW w:w="6521" w:type="dxa"/>
          </w:tcPr>
          <w:p w:rsidR="000C4CAF" w:rsidRPr="008A3C01" w:rsidRDefault="00A32041" w:rsidP="0098752B">
            <w:pPr>
              <w:rPr>
                <w:rFonts w:ascii="Comic Sans MS" w:hAnsi="Comic Sans MS"/>
                <w:sz w:val="28"/>
                <w:szCs w:val="28"/>
              </w:rPr>
            </w:pPr>
            <w:r>
              <w:rPr>
                <w:rFonts w:ascii="Comic Sans MS" w:hAnsi="Comic Sans MS"/>
                <w:sz w:val="28"/>
                <w:szCs w:val="28"/>
              </w:rPr>
              <w:t>In chromatography, the time taken for a component in a mixture to pass through the stationary phase.</w:t>
            </w:r>
          </w:p>
        </w:tc>
      </w:tr>
      <w:tr w:rsidR="000C4CAF" w:rsidRPr="008A3C01" w:rsidTr="0024230A">
        <w:trPr>
          <w:trHeight w:val="1057"/>
        </w:trPr>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Titration</w:t>
            </w:r>
          </w:p>
        </w:tc>
        <w:tc>
          <w:tcPr>
            <w:tcW w:w="6521" w:type="dxa"/>
          </w:tcPr>
          <w:p w:rsidR="000C4CAF" w:rsidRPr="008A3C01" w:rsidRDefault="009E4DE5" w:rsidP="0098752B">
            <w:pPr>
              <w:rPr>
                <w:rFonts w:ascii="Comic Sans MS" w:hAnsi="Comic Sans MS"/>
                <w:sz w:val="28"/>
                <w:szCs w:val="28"/>
              </w:rPr>
            </w:pPr>
            <w:r>
              <w:rPr>
                <w:rFonts w:ascii="Comic Sans MS" w:hAnsi="Comic Sans MS"/>
                <w:sz w:val="28"/>
                <w:szCs w:val="28"/>
              </w:rPr>
              <w:t>An analytical technique used to find the exact volumes of solutions that react with each other.</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Pipette</w:t>
            </w:r>
          </w:p>
        </w:tc>
        <w:tc>
          <w:tcPr>
            <w:tcW w:w="6521" w:type="dxa"/>
          </w:tcPr>
          <w:p w:rsidR="0024230A" w:rsidRDefault="00437294" w:rsidP="0098752B">
            <w:pPr>
              <w:rPr>
                <w:rFonts w:ascii="Comic Sans MS" w:hAnsi="Comic Sans MS"/>
                <w:sz w:val="28"/>
                <w:szCs w:val="28"/>
              </w:rPr>
            </w:pPr>
            <w:r>
              <w:rPr>
                <w:rFonts w:ascii="Comic Sans MS" w:hAnsi="Comic Sans MS"/>
                <w:sz w:val="28"/>
                <w:szCs w:val="28"/>
              </w:rPr>
              <w:t xml:space="preserve">Used to measure small volumes of liquids or solutions accurately. A pipette can be used to deliver the same fixed volume if solution again and again during a </w:t>
            </w:r>
            <w:r w:rsidR="001F12B5">
              <w:rPr>
                <w:rFonts w:ascii="Comic Sans MS" w:hAnsi="Comic Sans MS"/>
                <w:sz w:val="28"/>
                <w:szCs w:val="28"/>
              </w:rPr>
              <w:t xml:space="preserve">series of </w:t>
            </w:r>
            <w:r>
              <w:rPr>
                <w:rFonts w:ascii="Comic Sans MS" w:hAnsi="Comic Sans MS"/>
                <w:sz w:val="28"/>
                <w:szCs w:val="28"/>
              </w:rPr>
              <w:t>titration</w:t>
            </w:r>
            <w:r w:rsidR="001F12B5">
              <w:rPr>
                <w:rFonts w:ascii="Comic Sans MS" w:hAnsi="Comic Sans MS"/>
                <w:sz w:val="28"/>
                <w:szCs w:val="28"/>
              </w:rPr>
              <w:t>s.</w:t>
            </w:r>
            <w:bookmarkStart w:id="0" w:name="_GoBack"/>
            <w:bookmarkEnd w:id="0"/>
          </w:p>
          <w:p w:rsidR="0024230A" w:rsidRPr="008A3C01" w:rsidRDefault="0024230A" w:rsidP="0098752B">
            <w:pPr>
              <w:rPr>
                <w:rFonts w:ascii="Comic Sans MS" w:hAnsi="Comic Sans MS"/>
                <w:sz w:val="28"/>
                <w:szCs w:val="28"/>
              </w:rPr>
            </w:pP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lastRenderedPageBreak/>
              <w:t>End point</w:t>
            </w:r>
          </w:p>
        </w:tc>
        <w:tc>
          <w:tcPr>
            <w:tcW w:w="6521" w:type="dxa"/>
          </w:tcPr>
          <w:p w:rsidR="000C4CAF" w:rsidRPr="008A3C01" w:rsidRDefault="001F12B5" w:rsidP="0098752B">
            <w:pPr>
              <w:rPr>
                <w:rFonts w:ascii="Comic Sans MS" w:hAnsi="Comic Sans MS"/>
                <w:sz w:val="28"/>
                <w:szCs w:val="28"/>
              </w:rPr>
            </w:pPr>
            <w:r>
              <w:rPr>
                <w:rFonts w:ascii="Comic Sans MS" w:hAnsi="Comic Sans MS"/>
                <w:sz w:val="28"/>
                <w:szCs w:val="28"/>
              </w:rPr>
              <w:t xml:space="preserve">The point during a titration at which the reaction is just complete. For example in an acid-alkali titration, the end point is reached when the indicator changes colour. This happens when </w:t>
            </w:r>
            <w:r w:rsidR="00A36B58">
              <w:rPr>
                <w:rFonts w:ascii="Comic Sans MS" w:hAnsi="Comic Sans MS"/>
                <w:sz w:val="28"/>
                <w:szCs w:val="28"/>
              </w:rPr>
              <w:t>exactly</w:t>
            </w:r>
            <w:r>
              <w:rPr>
                <w:rFonts w:ascii="Comic Sans MS" w:hAnsi="Comic Sans MS"/>
                <w:sz w:val="28"/>
                <w:szCs w:val="28"/>
              </w:rPr>
              <w:t xml:space="preserve"> the right amount of acid has been added to react with all the alkali present at the start.</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Burette</w:t>
            </w:r>
          </w:p>
        </w:tc>
        <w:tc>
          <w:tcPr>
            <w:tcW w:w="6521" w:type="dxa"/>
          </w:tcPr>
          <w:p w:rsidR="000C4CAF" w:rsidRPr="008A3C01" w:rsidRDefault="001F12B5" w:rsidP="0098752B">
            <w:pPr>
              <w:rPr>
                <w:rFonts w:ascii="Comic Sans MS" w:hAnsi="Comic Sans MS"/>
                <w:sz w:val="28"/>
                <w:szCs w:val="28"/>
              </w:rPr>
            </w:pPr>
            <w:r>
              <w:rPr>
                <w:rFonts w:ascii="Comic Sans MS" w:hAnsi="Comic Sans MS"/>
                <w:sz w:val="28"/>
                <w:szCs w:val="28"/>
              </w:rPr>
              <w:t xml:space="preserve">A graduated tube with taps or valves used to measure the volume of liquids </w:t>
            </w:r>
            <w:r w:rsidR="00A36B58">
              <w:rPr>
                <w:rFonts w:ascii="Comic Sans MS" w:hAnsi="Comic Sans MS"/>
                <w:sz w:val="28"/>
                <w:szCs w:val="28"/>
              </w:rPr>
              <w:t>or</w:t>
            </w:r>
            <w:r>
              <w:rPr>
                <w:rFonts w:ascii="Comic Sans MS" w:hAnsi="Comic Sans MS"/>
                <w:sz w:val="28"/>
                <w:szCs w:val="28"/>
              </w:rPr>
              <w:t xml:space="preserve"> solutions during quantitative investigations such as titrations.  </w:t>
            </w:r>
          </w:p>
        </w:tc>
      </w:tr>
      <w:tr w:rsidR="000C4CAF" w:rsidRPr="008A3C01" w:rsidTr="008A3C01">
        <w:tc>
          <w:tcPr>
            <w:tcW w:w="4077" w:type="dxa"/>
          </w:tcPr>
          <w:p w:rsidR="000C4CAF" w:rsidRPr="008A3C01" w:rsidRDefault="00C16562" w:rsidP="0024230A">
            <w:pPr>
              <w:ind w:left="113"/>
              <w:rPr>
                <w:rFonts w:ascii="Comic Sans MS" w:hAnsi="Comic Sans MS"/>
                <w:b/>
                <w:sz w:val="28"/>
                <w:szCs w:val="28"/>
              </w:rPr>
            </w:pPr>
            <w:r>
              <w:rPr>
                <w:rFonts w:ascii="Comic Sans MS" w:hAnsi="Comic Sans MS"/>
                <w:b/>
                <w:sz w:val="28"/>
                <w:szCs w:val="28"/>
              </w:rPr>
              <w:t>Standard solution</w:t>
            </w:r>
          </w:p>
        </w:tc>
        <w:tc>
          <w:tcPr>
            <w:tcW w:w="6521" w:type="dxa"/>
          </w:tcPr>
          <w:p w:rsidR="000C4CAF" w:rsidRPr="008A3C01" w:rsidRDefault="001F12B5" w:rsidP="0098752B">
            <w:pPr>
              <w:rPr>
                <w:rFonts w:ascii="Comic Sans MS" w:hAnsi="Comic Sans MS"/>
                <w:sz w:val="28"/>
                <w:szCs w:val="28"/>
              </w:rPr>
            </w:pPr>
            <w:r>
              <w:rPr>
                <w:rFonts w:ascii="Comic Sans MS" w:hAnsi="Comic Sans MS"/>
                <w:sz w:val="28"/>
                <w:szCs w:val="28"/>
              </w:rPr>
              <w:t>A solution whose concentration is accurately known. They are used in titrations.</w:t>
            </w:r>
          </w:p>
        </w:tc>
      </w:tr>
    </w:tbl>
    <w:p w:rsidR="00245CF9" w:rsidRPr="008A3C01" w:rsidRDefault="00245CF9" w:rsidP="00245CF9">
      <w:pPr>
        <w:rPr>
          <w:sz w:val="28"/>
          <w:szCs w:val="28"/>
        </w:rPr>
      </w:pPr>
    </w:p>
    <w:p w:rsidR="00245CF9" w:rsidRPr="008A3C01" w:rsidRDefault="00245CF9" w:rsidP="00245CF9">
      <w:pPr>
        <w:rPr>
          <w:sz w:val="28"/>
          <w:szCs w:val="28"/>
        </w:rPr>
      </w:pPr>
    </w:p>
    <w:p w:rsidR="00245CF9" w:rsidRPr="008A3C01" w:rsidRDefault="00245CF9" w:rsidP="00245CF9">
      <w:pPr>
        <w:rPr>
          <w:sz w:val="28"/>
          <w:szCs w:val="28"/>
        </w:rPr>
      </w:pPr>
    </w:p>
    <w:sectPr w:rsidR="00245CF9" w:rsidRPr="008A3C01" w:rsidSect="0024230A">
      <w:headerReference w:type="default" r:id="rId7"/>
      <w:pgSz w:w="11906" w:h="16838" w:code="9"/>
      <w:pgMar w:top="510" w:right="567" w:bottom="510" w:left="51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0A" w:rsidRDefault="0024230A" w:rsidP="0024230A">
      <w:pPr>
        <w:spacing w:after="0" w:line="240" w:lineRule="auto"/>
      </w:pPr>
      <w:r>
        <w:separator/>
      </w:r>
    </w:p>
  </w:endnote>
  <w:endnote w:type="continuationSeparator" w:id="0">
    <w:p w:rsidR="0024230A" w:rsidRDefault="0024230A" w:rsidP="0024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0A" w:rsidRDefault="0024230A" w:rsidP="0024230A">
      <w:pPr>
        <w:spacing w:after="0" w:line="240" w:lineRule="auto"/>
      </w:pPr>
      <w:r>
        <w:separator/>
      </w:r>
    </w:p>
  </w:footnote>
  <w:footnote w:type="continuationSeparator" w:id="0">
    <w:p w:rsidR="0024230A" w:rsidRDefault="0024230A" w:rsidP="0024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0A" w:rsidRDefault="0024230A" w:rsidP="0024230A">
    <w:pPr>
      <w:jc w:val="center"/>
    </w:pPr>
    <w:r>
      <w:rPr>
        <w:rFonts w:ascii="Comic Sans MS" w:hAnsi="Comic Sans MS"/>
        <w:sz w:val="28"/>
        <w:szCs w:val="28"/>
        <w:u w:val="single"/>
      </w:rPr>
      <w:t>C7</w:t>
    </w:r>
    <w:r w:rsidRPr="008A3C01">
      <w:rPr>
        <w:rFonts w:ascii="Comic Sans MS" w:hAnsi="Comic Sans MS"/>
        <w:sz w:val="28"/>
        <w:szCs w:val="28"/>
        <w:u w:val="single"/>
      </w:rPr>
      <w:t xml:space="preserve"> Keywords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F9"/>
    <w:rsid w:val="0005538E"/>
    <w:rsid w:val="0007305C"/>
    <w:rsid w:val="000A1447"/>
    <w:rsid w:val="000C4CAF"/>
    <w:rsid w:val="001A2C1B"/>
    <w:rsid w:val="001F12B5"/>
    <w:rsid w:val="001F4FC5"/>
    <w:rsid w:val="0024230A"/>
    <w:rsid w:val="00245CF9"/>
    <w:rsid w:val="00275FB5"/>
    <w:rsid w:val="002E24DB"/>
    <w:rsid w:val="003755E2"/>
    <w:rsid w:val="00437294"/>
    <w:rsid w:val="004F4D3B"/>
    <w:rsid w:val="005C17C5"/>
    <w:rsid w:val="00601CAC"/>
    <w:rsid w:val="008A3C01"/>
    <w:rsid w:val="0090325B"/>
    <w:rsid w:val="0098752B"/>
    <w:rsid w:val="009E4DE5"/>
    <w:rsid w:val="00A32041"/>
    <w:rsid w:val="00A36B58"/>
    <w:rsid w:val="00B342D0"/>
    <w:rsid w:val="00C16562"/>
    <w:rsid w:val="00C64BE1"/>
    <w:rsid w:val="00D26132"/>
    <w:rsid w:val="00DE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2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0A"/>
  </w:style>
  <w:style w:type="paragraph" w:styleId="Footer">
    <w:name w:val="footer"/>
    <w:basedOn w:val="Normal"/>
    <w:link w:val="FooterChar"/>
    <w:uiPriority w:val="99"/>
    <w:unhideWhenUsed/>
    <w:rsid w:val="00242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30A"/>
  </w:style>
  <w:style w:type="paragraph" w:styleId="BalloonText">
    <w:name w:val="Balloon Text"/>
    <w:basedOn w:val="Normal"/>
    <w:link w:val="BalloonTextChar"/>
    <w:uiPriority w:val="99"/>
    <w:semiHidden/>
    <w:unhideWhenUsed/>
    <w:rsid w:val="0024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2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0A"/>
  </w:style>
  <w:style w:type="paragraph" w:styleId="Footer">
    <w:name w:val="footer"/>
    <w:basedOn w:val="Normal"/>
    <w:link w:val="FooterChar"/>
    <w:uiPriority w:val="99"/>
    <w:unhideWhenUsed/>
    <w:rsid w:val="00242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30A"/>
  </w:style>
  <w:style w:type="paragraph" w:styleId="BalloonText">
    <w:name w:val="Balloon Text"/>
    <w:basedOn w:val="Normal"/>
    <w:link w:val="BalloonTextChar"/>
    <w:uiPriority w:val="99"/>
    <w:semiHidden/>
    <w:unhideWhenUsed/>
    <w:rsid w:val="0024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Harding</dc:creator>
  <cp:lastModifiedBy>Diane Howes</cp:lastModifiedBy>
  <cp:revision>3</cp:revision>
  <cp:lastPrinted>2012-05-10T12:48:00Z</cp:lastPrinted>
  <dcterms:created xsi:type="dcterms:W3CDTF">2012-08-28T11:06:00Z</dcterms:created>
  <dcterms:modified xsi:type="dcterms:W3CDTF">2012-12-10T12:12:00Z</dcterms:modified>
</cp:coreProperties>
</file>